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28"/>
          <w:szCs w:val="28"/>
        </w:rPr>
        <w:t xml:space="preserve">erhvervsmarked</w:t>
      </w:r>
    </w:p>
    <w:p>
      <w:pPr>
        <w:spacing w:after="480" w:before="0"/>
        <w:jc w:val="center"/>
      </w:pPr>
      <w:r>
        <w:rPr>
          <w:rFonts w:ascii="Arial" w:cs="Arial" w:eastAsia="Arial" w:hAnsi="Arial"/>
          <w:b/>
          <w:bCs/>
          <w:sz w:val="36"/>
          <w:szCs w:val="36"/>
        </w:rPr>
        <w:t xml:space="preserve">FINANCIAL DATA REQUEST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Purpose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Pre-offer financial due diligence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Prepared by (Buyer)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Requested from (Seller)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Date of Request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Response Deadline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p>
      <w:r>
        <w:t xml:space="preserve"/>
      </w:r>
    </w:p>
    <w:p>
      <w:pPr>
        <w:spacing w:after="80" w:before="80"/>
      </w:pPr>
      <w:r>
        <w:rPr>
          <w:rFonts w:ascii="Arial" w:cs="Arial" w:eastAsia="Arial" w:hAnsi="Arial"/>
          <w:sz w:val="22"/>
          <w:szCs w:val="22"/>
        </w:rPr>
        <w:t xml:space="preserve">Please provide the following financial documents as part of the initial due diligence process. All documents should be provided in PDF or Excel format via the secure data room link provided separately.</w:t>
      </w:r>
    </w:p>
    <w:p>
      <w:r>
        <w:t xml:space="preserve"/>
      </w:r>
    </w:p>
    <w:p>
      <w:pPr>
        <w:pStyle w:val="Heading1"/>
        <w:spacing w:after="120" w:before="360"/>
      </w:pPr>
      <w:r>
        <w:rPr>
          <w:rFonts w:ascii="Arial" w:cs="Arial" w:eastAsia="Arial" w:hAnsi="Arial"/>
          <w:b/>
          <w:bCs/>
          <w:sz w:val="28"/>
          <w:szCs w:val="28"/>
        </w:rPr>
        <w:t xml:space="preserve">1. Financial Statements</w:t>
      </w:r>
    </w:p>
    <w:p>
      <w:pPr>
        <w:pStyle w:val="ListParagraph"/>
        <w:numPr>
          <w:ilvl w:val="0"/>
          <w:numId w:val="2"/>
        </w:numPr>
        <w:spacing w:after="40" w:before="40"/>
      </w:pPr>
      <w:r>
        <w:rPr>
          <w:rFonts w:ascii="Arial" w:cs="Arial" w:eastAsia="Arial" w:hAnsi="Arial"/>
          <w:sz w:val="22"/>
          <w:szCs w:val="22"/>
        </w:rPr>
        <w:t xml:space="preserve">Audited annual financial statements for the last 3 fiscal years (P&amp;L, Balance Sheet, Cash Flow)</w:t>
      </w:r>
    </w:p>
    <w:p>
      <w:pPr>
        <w:pStyle w:val="ListParagraph"/>
        <w:numPr>
          <w:ilvl w:val="0"/>
          <w:numId w:val="2"/>
        </w:numPr>
        <w:spacing w:after="40" w:before="40"/>
      </w:pPr>
      <w:r>
        <w:rPr>
          <w:rFonts w:ascii="Arial" w:cs="Arial" w:eastAsia="Arial" w:hAnsi="Arial"/>
          <w:sz w:val="22"/>
          <w:szCs w:val="22"/>
        </w:rPr>
        <w:t xml:space="preserve">Management accounts for the current fiscal year (year-to-date)</w:t>
      </w:r>
    </w:p>
    <w:p>
      <w:pPr>
        <w:pStyle w:val="ListParagraph"/>
        <w:numPr>
          <w:ilvl w:val="0"/>
          <w:numId w:val="2"/>
        </w:numPr>
        <w:spacing w:after="40" w:before="40"/>
      </w:pPr>
      <w:r>
        <w:rPr>
          <w:rFonts w:ascii="Arial" w:cs="Arial" w:eastAsia="Arial" w:hAnsi="Arial"/>
          <w:sz w:val="22"/>
          <w:szCs w:val="22"/>
        </w:rPr>
        <w:t xml:space="preserve">Monthly revenue breakdown for the last 24 months</w:t>
      </w:r>
    </w:p>
    <w:p>
      <w:pPr>
        <w:pStyle w:val="ListParagraph"/>
        <w:numPr>
          <w:ilvl w:val="0"/>
          <w:numId w:val="2"/>
        </w:numPr>
        <w:spacing w:after="40" w:before="40"/>
      </w:pPr>
      <w:r>
        <w:rPr>
          <w:rFonts w:ascii="Arial" w:cs="Arial" w:eastAsia="Arial" w:hAnsi="Arial"/>
          <w:sz w:val="22"/>
          <w:szCs w:val="22"/>
        </w:rPr>
        <w:t xml:space="preserve">Breakdown of gross margin by product/service line</w:t>
      </w:r>
    </w:p>
    <w:p>
      <w:pPr>
        <w:pStyle w:val="ListParagraph"/>
        <w:numPr>
          <w:ilvl w:val="0"/>
          <w:numId w:val="2"/>
        </w:numPr>
        <w:spacing w:after="40" w:before="40"/>
      </w:pPr>
      <w:r>
        <w:rPr>
          <w:rFonts w:ascii="Arial" w:cs="Arial" w:eastAsia="Arial" w:hAnsi="Arial"/>
          <w:sz w:val="22"/>
          <w:szCs w:val="22"/>
        </w:rPr>
        <w:t xml:space="preserve">Details of any non-recurring or extraordinary items in the P&amp;L</w:t>
      </w:r>
    </w:p>
    <w:p>
      <w:pPr>
        <w:pStyle w:val="Heading1"/>
        <w:spacing w:after="120" w:before="360"/>
      </w:pPr>
      <w:r>
        <w:rPr>
          <w:rFonts w:ascii="Arial" w:cs="Arial" w:eastAsia="Arial" w:hAnsi="Arial"/>
          <w:b/>
          <w:bCs/>
          <w:sz w:val="28"/>
          <w:szCs w:val="28"/>
        </w:rPr>
        <w:t xml:space="preserve">2. Revenue &amp; Customers</w:t>
      </w:r>
    </w:p>
    <w:p>
      <w:pPr>
        <w:pStyle w:val="ListParagraph"/>
        <w:numPr>
          <w:ilvl w:val="0"/>
          <w:numId w:val="2"/>
        </w:numPr>
        <w:spacing w:after="40" w:before="40"/>
      </w:pPr>
      <w:r>
        <w:rPr>
          <w:rFonts w:ascii="Arial" w:cs="Arial" w:eastAsia="Arial" w:hAnsi="Arial"/>
          <w:sz w:val="22"/>
          <w:szCs w:val="22"/>
        </w:rPr>
        <w:t xml:space="preserve">Revenue by customer (top 10 customers, % of total revenue)</w:t>
      </w:r>
    </w:p>
    <w:p>
      <w:pPr>
        <w:pStyle w:val="ListParagraph"/>
        <w:numPr>
          <w:ilvl w:val="0"/>
          <w:numId w:val="2"/>
        </w:numPr>
        <w:spacing w:after="40" w:before="40"/>
      </w:pPr>
      <w:r>
        <w:rPr>
          <w:rFonts w:ascii="Arial" w:cs="Arial" w:eastAsia="Arial" w:hAnsi="Arial"/>
          <w:sz w:val="22"/>
          <w:szCs w:val="22"/>
        </w:rPr>
        <w:t xml:space="preserve">Customer concentration analysis — % revenue from top 5 customers</w:t>
      </w:r>
    </w:p>
    <w:p>
      <w:pPr>
        <w:pStyle w:val="ListParagraph"/>
        <w:numPr>
          <w:ilvl w:val="0"/>
          <w:numId w:val="2"/>
        </w:numPr>
        <w:spacing w:after="40" w:before="40"/>
      </w:pPr>
      <w:r>
        <w:rPr>
          <w:rFonts w:ascii="Arial" w:cs="Arial" w:eastAsia="Arial" w:hAnsi="Arial"/>
          <w:sz w:val="22"/>
          <w:szCs w:val="22"/>
        </w:rPr>
        <w:t xml:space="preserve">List of recurring vs one-off revenue contracts</w:t>
      </w:r>
    </w:p>
    <w:p>
      <w:pPr>
        <w:pStyle w:val="ListParagraph"/>
        <w:numPr>
          <w:ilvl w:val="0"/>
          <w:numId w:val="2"/>
        </w:numPr>
        <w:spacing w:after="40" w:before="40"/>
      </w:pPr>
      <w:r>
        <w:rPr>
          <w:rFonts w:ascii="Arial" w:cs="Arial" w:eastAsia="Arial" w:hAnsi="Arial"/>
          <w:sz w:val="22"/>
          <w:szCs w:val="22"/>
        </w:rPr>
        <w:t xml:space="preserve">Pipeline report and forward bookings</w:t>
      </w:r>
    </w:p>
    <w:p>
      <w:pPr>
        <w:pStyle w:val="ListParagraph"/>
        <w:numPr>
          <w:ilvl w:val="0"/>
          <w:numId w:val="2"/>
        </w:numPr>
        <w:spacing w:after="40" w:before="40"/>
      </w:pPr>
      <w:r>
        <w:rPr>
          <w:rFonts w:ascii="Arial" w:cs="Arial" w:eastAsia="Arial" w:hAnsi="Arial"/>
          <w:sz w:val="22"/>
          <w:szCs w:val="22"/>
        </w:rPr>
        <w:t xml:space="preserve">Churn rate and customer retention statistics (if applicable)</w:t>
      </w:r>
    </w:p>
    <w:p>
      <w:pPr>
        <w:pStyle w:val="Heading1"/>
        <w:spacing w:after="120" w:before="360"/>
      </w:pPr>
      <w:r>
        <w:rPr>
          <w:rFonts w:ascii="Arial" w:cs="Arial" w:eastAsia="Arial" w:hAnsi="Arial"/>
          <w:b/>
          <w:bCs/>
          <w:sz w:val="28"/>
          <w:szCs w:val="28"/>
        </w:rPr>
        <w:t xml:space="preserve">3. Costs &amp; Expenses</w:t>
      </w:r>
    </w:p>
    <w:p>
      <w:pPr>
        <w:pStyle w:val="ListParagraph"/>
        <w:numPr>
          <w:ilvl w:val="0"/>
          <w:numId w:val="2"/>
        </w:numPr>
        <w:spacing w:after="40" w:before="40"/>
      </w:pPr>
      <w:r>
        <w:rPr>
          <w:rFonts w:ascii="Arial" w:cs="Arial" w:eastAsia="Arial" w:hAnsi="Arial"/>
          <w:sz w:val="22"/>
          <w:szCs w:val="22"/>
        </w:rPr>
        <w:t xml:space="preserve">Payroll breakdown by department (headcount + total cost)</w:t>
      </w:r>
    </w:p>
    <w:p>
      <w:pPr>
        <w:pStyle w:val="ListParagraph"/>
        <w:numPr>
          <w:ilvl w:val="0"/>
          <w:numId w:val="2"/>
        </w:numPr>
        <w:spacing w:after="40" w:before="40"/>
      </w:pPr>
      <w:r>
        <w:rPr>
          <w:rFonts w:ascii="Arial" w:cs="Arial" w:eastAsia="Arial" w:hAnsi="Arial"/>
          <w:sz w:val="22"/>
          <w:szCs w:val="22"/>
        </w:rPr>
        <w:t xml:space="preserve">Fixed vs variable cost structure overview</w:t>
      </w:r>
    </w:p>
    <w:p>
      <w:pPr>
        <w:pStyle w:val="ListParagraph"/>
        <w:numPr>
          <w:ilvl w:val="0"/>
          <w:numId w:val="2"/>
        </w:numPr>
        <w:spacing w:after="40" w:before="40"/>
      </w:pPr>
      <w:r>
        <w:rPr>
          <w:rFonts w:ascii="Arial" w:cs="Arial" w:eastAsia="Arial" w:hAnsi="Arial"/>
          <w:sz w:val="22"/>
          <w:szCs w:val="22"/>
        </w:rPr>
        <w:t xml:space="preserve">List of all material supplier contracts and pricing</w:t>
      </w:r>
    </w:p>
    <w:p>
      <w:pPr>
        <w:pStyle w:val="ListParagraph"/>
        <w:numPr>
          <w:ilvl w:val="0"/>
          <w:numId w:val="2"/>
        </w:numPr>
        <w:spacing w:after="40" w:before="40"/>
      </w:pPr>
      <w:r>
        <w:rPr>
          <w:rFonts w:ascii="Arial" w:cs="Arial" w:eastAsia="Arial" w:hAnsi="Arial"/>
          <w:sz w:val="22"/>
          <w:szCs w:val="22"/>
        </w:rPr>
        <w:t xml:space="preserve">Rent and property costs (with lease terms)</w:t>
      </w:r>
    </w:p>
    <w:p>
      <w:pPr>
        <w:pStyle w:val="ListParagraph"/>
        <w:numPr>
          <w:ilvl w:val="0"/>
          <w:numId w:val="2"/>
        </w:numPr>
        <w:spacing w:after="40" w:before="40"/>
      </w:pPr>
      <w:r>
        <w:rPr>
          <w:rFonts w:ascii="Arial" w:cs="Arial" w:eastAsia="Arial" w:hAnsi="Arial"/>
          <w:sz w:val="22"/>
          <w:szCs w:val="22"/>
        </w:rPr>
        <w:t xml:space="preserve">IT and software subscription costs</w:t>
      </w:r>
    </w:p>
    <w:p>
      <w:pPr>
        <w:pStyle w:val="Heading1"/>
        <w:spacing w:after="120" w:before="360"/>
      </w:pPr>
      <w:r>
        <w:rPr>
          <w:rFonts w:ascii="Arial" w:cs="Arial" w:eastAsia="Arial" w:hAnsi="Arial"/>
          <w:b/>
          <w:bCs/>
          <w:sz w:val="28"/>
          <w:szCs w:val="28"/>
        </w:rPr>
        <w:t xml:space="preserve">4. Assets &amp; Liabilities</w:t>
      </w:r>
    </w:p>
    <w:p>
      <w:pPr>
        <w:pStyle w:val="ListParagraph"/>
        <w:numPr>
          <w:ilvl w:val="0"/>
          <w:numId w:val="2"/>
        </w:numPr>
        <w:spacing w:after="40" w:before="40"/>
      </w:pPr>
      <w:r>
        <w:rPr>
          <w:rFonts w:ascii="Arial" w:cs="Arial" w:eastAsia="Arial" w:hAnsi="Arial"/>
          <w:sz w:val="22"/>
          <w:szCs w:val="22"/>
        </w:rPr>
        <w:t xml:space="preserve">Fixed asset register with net book values</w:t>
      </w:r>
    </w:p>
    <w:p>
      <w:pPr>
        <w:pStyle w:val="ListParagraph"/>
        <w:numPr>
          <w:ilvl w:val="0"/>
          <w:numId w:val="2"/>
        </w:numPr>
        <w:spacing w:after="40" w:before="40"/>
      </w:pPr>
      <w:r>
        <w:rPr>
          <w:rFonts w:ascii="Arial" w:cs="Arial" w:eastAsia="Arial" w:hAnsi="Arial"/>
          <w:sz w:val="22"/>
          <w:szCs w:val="22"/>
        </w:rPr>
        <w:t xml:space="preserve">Inventory valuation report (if applicable)</w:t>
      </w:r>
    </w:p>
    <w:p>
      <w:pPr>
        <w:pStyle w:val="ListParagraph"/>
        <w:numPr>
          <w:ilvl w:val="0"/>
          <w:numId w:val="2"/>
        </w:numPr>
        <w:spacing w:after="40" w:before="40"/>
      </w:pPr>
      <w:r>
        <w:rPr>
          <w:rFonts w:ascii="Arial" w:cs="Arial" w:eastAsia="Arial" w:hAnsi="Arial"/>
          <w:sz w:val="22"/>
          <w:szCs w:val="22"/>
        </w:rPr>
        <w:t xml:space="preserve">Outstanding loans, overdrafts, and credit facilities</w:t>
      </w:r>
    </w:p>
    <w:p>
      <w:pPr>
        <w:pStyle w:val="ListParagraph"/>
        <w:numPr>
          <w:ilvl w:val="0"/>
          <w:numId w:val="2"/>
        </w:numPr>
        <w:spacing w:after="40" w:before="40"/>
      </w:pPr>
      <w:r>
        <w:rPr>
          <w:rFonts w:ascii="Arial" w:cs="Arial" w:eastAsia="Arial" w:hAnsi="Arial"/>
          <w:sz w:val="22"/>
          <w:szCs w:val="22"/>
        </w:rPr>
        <w:t xml:space="preserve">Accounts receivable aging report</w:t>
      </w:r>
    </w:p>
    <w:p>
      <w:pPr>
        <w:pStyle w:val="ListParagraph"/>
        <w:numPr>
          <w:ilvl w:val="0"/>
          <w:numId w:val="2"/>
        </w:numPr>
        <w:spacing w:after="40" w:before="40"/>
      </w:pPr>
      <w:r>
        <w:rPr>
          <w:rFonts w:ascii="Arial" w:cs="Arial" w:eastAsia="Arial" w:hAnsi="Arial"/>
          <w:sz w:val="22"/>
          <w:szCs w:val="22"/>
        </w:rPr>
        <w:t xml:space="preserve">Accounts payable aging report</w:t>
      </w:r>
    </w:p>
    <w:p>
      <w:pPr>
        <w:pStyle w:val="ListParagraph"/>
        <w:numPr>
          <w:ilvl w:val="0"/>
          <w:numId w:val="2"/>
        </w:numPr>
        <w:spacing w:after="40" w:before="40"/>
      </w:pPr>
      <w:r>
        <w:rPr>
          <w:rFonts w:ascii="Arial" w:cs="Arial" w:eastAsia="Arial" w:hAnsi="Arial"/>
          <w:sz w:val="22"/>
          <w:szCs w:val="22"/>
        </w:rPr>
        <w:t xml:space="preserve">Contingent liabilities and pending legal claims</w:t>
      </w:r>
    </w:p>
    <w:p>
      <w:pPr>
        <w:pStyle w:val="Heading1"/>
        <w:spacing w:after="120" w:before="360"/>
      </w:pPr>
      <w:r>
        <w:rPr>
          <w:rFonts w:ascii="Arial" w:cs="Arial" w:eastAsia="Arial" w:hAnsi="Arial"/>
          <w:b/>
          <w:bCs/>
          <w:sz w:val="28"/>
          <w:szCs w:val="28"/>
        </w:rPr>
        <w:t xml:space="preserve">5. Tax</w:t>
      </w:r>
    </w:p>
    <w:p>
      <w:pPr>
        <w:pStyle w:val="ListParagraph"/>
        <w:numPr>
          <w:ilvl w:val="0"/>
          <w:numId w:val="2"/>
        </w:numPr>
        <w:spacing w:after="40" w:before="40"/>
      </w:pPr>
      <w:r>
        <w:rPr>
          <w:rFonts w:ascii="Arial" w:cs="Arial" w:eastAsia="Arial" w:hAnsi="Arial"/>
          <w:sz w:val="22"/>
          <w:szCs w:val="22"/>
        </w:rPr>
        <w:t xml:space="preserve">Last 3 years corporate tax returns (selskabsskat)</w:t>
      </w:r>
    </w:p>
    <w:p>
      <w:pPr>
        <w:pStyle w:val="ListParagraph"/>
        <w:numPr>
          <w:ilvl w:val="0"/>
          <w:numId w:val="2"/>
        </w:numPr>
        <w:spacing w:after="40" w:before="40"/>
      </w:pPr>
      <w:r>
        <w:rPr>
          <w:rFonts w:ascii="Arial" w:cs="Arial" w:eastAsia="Arial" w:hAnsi="Arial"/>
          <w:sz w:val="22"/>
          <w:szCs w:val="22"/>
        </w:rPr>
        <w:t xml:space="preserve">VAT returns for the last 12 months</w:t>
      </w:r>
    </w:p>
    <w:p>
      <w:pPr>
        <w:pStyle w:val="ListParagraph"/>
        <w:numPr>
          <w:ilvl w:val="0"/>
          <w:numId w:val="2"/>
        </w:numPr>
        <w:spacing w:after="40" w:before="40"/>
      </w:pPr>
      <w:r>
        <w:rPr>
          <w:rFonts w:ascii="Arial" w:cs="Arial" w:eastAsia="Arial" w:hAnsi="Arial"/>
          <w:sz w:val="22"/>
          <w:szCs w:val="22"/>
        </w:rPr>
        <w:t xml:space="preserve">Confirmation of no outstanding tax liabilities</w:t>
      </w:r>
    </w:p>
    <w:p>
      <w:pPr>
        <w:pStyle w:val="ListParagraph"/>
        <w:numPr>
          <w:ilvl w:val="0"/>
          <w:numId w:val="2"/>
        </w:numPr>
        <w:spacing w:after="40" w:before="40"/>
      </w:pPr>
      <w:r>
        <w:rPr>
          <w:rFonts w:ascii="Arial" w:cs="Arial" w:eastAsia="Arial" w:hAnsi="Arial"/>
          <w:sz w:val="22"/>
          <w:szCs w:val="22"/>
        </w:rPr>
        <w:t xml:space="preserve">Transfer pricing documentation (if applicable)</w:t>
      </w:r>
    </w:p>
    <w:p>
      <w:r>
        <w:t xml:space="preserve"/>
      </w:r>
    </w:p>
    <w:p>
      <w:r>
        <w:t xml:space="preserve"/>
      </w:r>
    </w:p>
    <w:p>
      <w:pPr>
        <w:pBdr>
          <w:top w:val="single" w:color="CCCCCC" w:sz="4"/>
        </w:pBdr>
        <w:spacing w:after="80" w:before="240"/>
      </w:pPr>
      <w:r>
        <w:rPr>
          <w:rFonts w:ascii="Arial" w:cs="Arial" w:eastAsia="Arial" w:hAnsi="Arial"/>
          <w:i/>
          <w:iCs/>
          <w:color w:val="888888"/>
          <w:sz w:val="18"/>
          <w:szCs w:val="18"/>
        </w:rPr>
        <w:t xml:space="preserve">⚠️ DISCLAIMER: This template is for drafting assistance only and does not constitute legal advice. Always consult a qualified Danish lawyer before signing any binding agreement. erhvervsmarked ApS accepts no liability for losses arising from use of this template without independent legal review.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0000"/>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2026-05-19T20:31:03.160Z</dcterms:created>
  <dcterms:modified xsi:type="dcterms:W3CDTF">2026-05-19T20:31:03.160Z</dcterms:modified>
</cp:coreProperties>
</file>

<file path=docProps/custom.xml><?xml version="1.0" encoding="utf-8"?>
<Properties xmlns="http://schemas.openxmlformats.org/officeDocument/2006/custom-properties" xmlns:vt="http://schemas.openxmlformats.org/officeDocument/2006/docPropsVTypes"/>
</file>